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3076"/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715"/>
        <w:gridCol w:w="5246"/>
      </w:tblGrid>
      <w:tr w:rsidR="0069006F" w:rsidRPr="0069006F" w:rsidTr="0069006F">
        <w:trPr>
          <w:trHeight w:val="288"/>
          <w:jc w:val="center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006F" w:rsidRPr="0069006F" w:rsidRDefault="00C52412" w:rsidP="00F315C4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Příloha č. 1_Nová specifikace</w:t>
            </w:r>
          </w:p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69006F">
        <w:trPr>
          <w:trHeight w:val="452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69006F">
              <w:rPr>
                <w:rFonts w:eastAsia="Times New Roman"/>
                <w:b/>
                <w:sz w:val="24"/>
              </w:rPr>
              <w:t>Požadavek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69006F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69006F">
              <w:rPr>
                <w:rFonts w:eastAsia="Times New Roman"/>
                <w:b/>
                <w:sz w:val="24"/>
              </w:rPr>
              <w:t xml:space="preserve">Nabídka – uchazeč doplní </w:t>
            </w:r>
            <w:r>
              <w:rPr>
                <w:rFonts w:eastAsia="Times New Roman"/>
                <w:b/>
                <w:sz w:val="24"/>
              </w:rPr>
              <w:t>podrobný popis nabízených služeb</w:t>
            </w:r>
          </w:p>
        </w:tc>
      </w:tr>
      <w:tr w:rsidR="0069006F" w:rsidRPr="0069006F" w:rsidTr="0069006F">
        <w:trPr>
          <w:trHeight w:val="91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69006F">
              <w:rPr>
                <w:rFonts w:eastAsia="Times New Roman"/>
                <w:b/>
                <w:bCs/>
                <w:lang w:eastAsia="cs-CZ"/>
              </w:rPr>
              <w:t>Typ pobytu</w:t>
            </w:r>
          </w:p>
        </w:tc>
        <w:tc>
          <w:tcPr>
            <w:tcW w:w="6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AC0835">
              <w:rPr>
                <w:rFonts w:eastAsia="Times New Roman"/>
                <w:lang w:eastAsia="cs-CZ"/>
              </w:rPr>
              <w:t xml:space="preserve">Jazykově vzdělávací pobyt zaměřený na výuku anglického jazyka v oblasti </w:t>
            </w:r>
            <w:r w:rsidR="00AC0835">
              <w:rPr>
                <w:rFonts w:eastAsia="Times New Roman"/>
                <w:lang w:eastAsia="cs-CZ"/>
              </w:rPr>
              <w:t>jižní části Velké Británie a v Londýně</w:t>
            </w:r>
            <w:r w:rsidRPr="00AC0835">
              <w:rPr>
                <w:rFonts w:eastAsia="Times New Roman"/>
                <w:lang w:eastAsia="cs-CZ"/>
              </w:rPr>
              <w:t xml:space="preserve"> pro celkem </w:t>
            </w:r>
            <w:r w:rsidR="00AC0835" w:rsidRPr="00AC0835">
              <w:t>40 žáků + 3 pedagogické pracovníky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69006F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69006F" w:rsidTr="0069006F">
        <w:trPr>
          <w:trHeight w:val="41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69006F">
              <w:rPr>
                <w:rFonts w:eastAsia="Times New Roman"/>
                <w:b/>
                <w:bCs/>
                <w:lang w:eastAsia="cs-CZ"/>
              </w:rPr>
              <w:t>Délka pobytu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C52412" w:rsidP="00AC0835">
            <w:pPr>
              <w:spacing w:after="0" w:line="240" w:lineRule="auto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/>
                <w:lang w:eastAsia="cs-CZ"/>
              </w:rPr>
              <w:t>5</w:t>
            </w:r>
            <w:r w:rsidR="0069006F" w:rsidRPr="00AC0835">
              <w:rPr>
                <w:rFonts w:eastAsia="Times New Roman"/>
                <w:lang w:eastAsia="cs-CZ"/>
              </w:rPr>
              <w:t xml:space="preserve"> dnů </w:t>
            </w:r>
            <w:r w:rsidR="00AC0835" w:rsidRPr="00AC0835">
              <w:rPr>
                <w:rFonts w:eastAsia="Times New Roman"/>
                <w:lang w:eastAsia="cs-CZ"/>
              </w:rPr>
              <w:t>BEZ CESTY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69006F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69006F" w:rsidTr="00AC0835">
        <w:trPr>
          <w:trHeight w:val="738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69006F">
              <w:rPr>
                <w:rFonts w:eastAsia="Times New Roman"/>
                <w:b/>
                <w:bCs/>
                <w:lang w:eastAsia="cs-CZ"/>
              </w:rPr>
              <w:t>Termíny akcí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AC0835" w:rsidRDefault="00D578E5" w:rsidP="00F315C4">
            <w:pPr>
              <w:spacing w:after="0"/>
              <w:rPr>
                <w:highlight w:val="green"/>
              </w:rPr>
            </w:pPr>
            <w:r>
              <w:t>V rozmezí 01. 10. 2015 – 15. 11. 2015</w:t>
            </w:r>
            <w:r w:rsidR="00AF7BCB">
              <w:t xml:space="preserve"> </w:t>
            </w:r>
            <w:r w:rsidR="00AF7BCB" w:rsidRPr="00AF7BCB">
              <w:rPr>
                <w:b/>
              </w:rPr>
              <w:t>(NE V DOBĚ PODZIMNÍCH PRÁZDNIN 29.</w:t>
            </w:r>
            <w:r w:rsidR="00AF7BCB">
              <w:rPr>
                <w:b/>
              </w:rPr>
              <w:t xml:space="preserve"> </w:t>
            </w:r>
            <w:r w:rsidR="00AF7BCB" w:rsidRPr="00AF7BCB">
              <w:rPr>
                <w:b/>
              </w:rPr>
              <w:t>-</w:t>
            </w:r>
            <w:r w:rsidR="00AF7BCB">
              <w:rPr>
                <w:b/>
              </w:rPr>
              <w:t xml:space="preserve"> </w:t>
            </w:r>
            <w:r w:rsidR="00AF7BCB" w:rsidRPr="00AF7BCB">
              <w:rPr>
                <w:b/>
              </w:rPr>
              <w:t>30.</w:t>
            </w:r>
            <w:r w:rsidR="00AF7BCB">
              <w:rPr>
                <w:b/>
              </w:rPr>
              <w:t xml:space="preserve"> </w:t>
            </w:r>
            <w:r w:rsidR="00AF7BCB" w:rsidRPr="00AF7BCB">
              <w:rPr>
                <w:b/>
              </w:rPr>
              <w:t>10.</w:t>
            </w:r>
            <w:r w:rsidR="00AF7BCB">
              <w:rPr>
                <w:b/>
              </w:rPr>
              <w:t xml:space="preserve"> </w:t>
            </w:r>
            <w:r w:rsidR="00AF7BCB" w:rsidRPr="00AF7BCB">
              <w:rPr>
                <w:b/>
              </w:rPr>
              <w:t>2015</w:t>
            </w:r>
            <w:r w:rsidR="00AF7BCB">
              <w:rPr>
                <w:b/>
              </w:rPr>
              <w:t xml:space="preserve"> !</w:t>
            </w:r>
            <w:r w:rsidR="00AF7BCB" w:rsidRPr="00AF7BCB">
              <w:rPr>
                <w:b/>
              </w:rPr>
              <w:t>)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AC0835" w:rsidRDefault="00AC0835" w:rsidP="00F315C4">
            <w:pPr>
              <w:spacing w:after="0"/>
              <w:rPr>
                <w:rFonts w:eastAsia="Times New Roman" w:cs="Times New Roman"/>
                <w:i/>
              </w:rPr>
            </w:pPr>
            <w:r w:rsidRPr="00AC0835">
              <w:rPr>
                <w:rFonts w:eastAsia="Times New Roman" w:cs="Times New Roman"/>
                <w:i/>
              </w:rPr>
              <w:t>Uchazeč stanoví termín zájezdu dle svých možností</w:t>
            </w:r>
            <w:r>
              <w:rPr>
                <w:rFonts w:eastAsia="Times New Roman" w:cs="Times New Roman"/>
                <w:i/>
              </w:rPr>
              <w:t>, podmínkou je dodržení délky pobytu</w:t>
            </w:r>
          </w:p>
        </w:tc>
      </w:tr>
      <w:tr w:rsidR="0069006F" w:rsidRPr="0069006F" w:rsidTr="00AC0835">
        <w:trPr>
          <w:trHeight w:val="975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Výuka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C0835" w:rsidRDefault="00AC0835" w:rsidP="00F315C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Výuka</w:t>
            </w:r>
            <w:r w:rsidRPr="00AC0835">
              <w:rPr>
                <w:rFonts w:eastAsia="Times New Roman"/>
              </w:rPr>
              <w:t xml:space="preserve"> anglického jazyka během pobytu pro všechny žáky.</w:t>
            </w:r>
          </w:p>
          <w:p w:rsidR="0069006F" w:rsidRDefault="00AC0835" w:rsidP="00AC0835">
            <w:pPr>
              <w:spacing w:after="0" w:line="240" w:lineRule="auto"/>
            </w:pPr>
            <w:r>
              <w:t>R</w:t>
            </w:r>
            <w:r w:rsidR="0069006F" w:rsidRPr="00AC0835">
              <w:t xml:space="preserve">ozsah </w:t>
            </w:r>
            <w:r w:rsidR="00C52412">
              <w:t>9</w:t>
            </w:r>
            <w:r w:rsidRPr="00AC0835">
              <w:t xml:space="preserve"> x 45 minut</w:t>
            </w:r>
            <w:r w:rsidR="0069006F" w:rsidRPr="00AC0835">
              <w:t xml:space="preserve"> </w:t>
            </w:r>
            <w:r w:rsidR="00C52412">
              <w:t>(9</w:t>
            </w:r>
            <w:r w:rsidRPr="00AC0835">
              <w:t xml:space="preserve"> lekcí)</w:t>
            </w:r>
            <w:r>
              <w:t>.</w:t>
            </w:r>
          </w:p>
          <w:p w:rsidR="00AC0835" w:rsidRPr="00AC0835" w:rsidRDefault="00AC0835" w:rsidP="00AC0835">
            <w:pPr>
              <w:spacing w:after="0" w:line="240" w:lineRule="auto"/>
              <w:rPr>
                <w:rFonts w:eastAsia="Times New Roman"/>
              </w:rPr>
            </w:pPr>
            <w:r>
              <w:t>Rozděleno do minimálně 2 dní.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06F" w:rsidRPr="0069006F" w:rsidRDefault="0069006F" w:rsidP="00F315C4">
            <w:pPr>
              <w:spacing w:after="0"/>
              <w:rPr>
                <w:rFonts w:eastAsia="Times New Roman" w:cs="Times New Roman"/>
              </w:rPr>
            </w:pPr>
          </w:p>
        </w:tc>
      </w:tr>
      <w:tr w:rsidR="0069006F" w:rsidRPr="0069006F" w:rsidTr="0069006F">
        <w:trPr>
          <w:trHeight w:val="2332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Doprava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AC0835" w:rsidRDefault="0069006F" w:rsidP="00F315C4">
            <w:pPr>
              <w:spacing w:after="0" w:line="240" w:lineRule="auto"/>
            </w:pPr>
            <w:r w:rsidRPr="00AC0835">
              <w:t xml:space="preserve">Doprava na místo </w:t>
            </w:r>
            <w:r w:rsidR="000E1F94">
              <w:t xml:space="preserve">od sídla školy </w:t>
            </w:r>
            <w:r w:rsidRPr="00AC0835">
              <w:t xml:space="preserve">a zpět </w:t>
            </w:r>
            <w:r w:rsidR="000E1F94">
              <w:t xml:space="preserve">k sídlu školy </w:t>
            </w:r>
            <w:r w:rsidRPr="00AC0835">
              <w:t>– klimatizovaným autobusem pro dálkovou přepravu (splňující podmínky provozu na komunikacích s ohledem na plánovanou trasu včetn</w:t>
            </w:r>
            <w:r w:rsidR="00F17EEA" w:rsidRPr="00AC0835">
              <w:t xml:space="preserve">ě plné </w:t>
            </w:r>
            <w:r w:rsidR="00AC0835" w:rsidRPr="00AC0835">
              <w:t>způsobilosti řidiče(ů)), s televizí a bezpečnostními pásy.</w:t>
            </w:r>
          </w:p>
          <w:p w:rsidR="00F17EEA" w:rsidRDefault="00F17EEA" w:rsidP="00F315C4">
            <w:pPr>
              <w:spacing w:after="0" w:line="240" w:lineRule="auto"/>
            </w:pPr>
            <w:r w:rsidRPr="00AC0835">
              <w:t>D</w:t>
            </w:r>
            <w:r w:rsidR="0069006F" w:rsidRPr="00AC0835">
              <w:t>oprava během pobytu v</w:t>
            </w:r>
            <w:r w:rsidRPr="00AC0835">
              <w:t> místě pobytu</w:t>
            </w:r>
            <w:r w:rsidR="0069006F" w:rsidRPr="00AC0835">
              <w:t xml:space="preserve"> (odvoz z místa ranního srazu, odvoz z místa realizace výukových lekcí a přivezení zpě</w:t>
            </w:r>
            <w:r w:rsidRPr="00AC0835">
              <w:t>t večer po odpoledním programu);</w:t>
            </w:r>
          </w:p>
          <w:p w:rsidR="00F17EEA" w:rsidRPr="00AC0835" w:rsidRDefault="00F17EEA" w:rsidP="00F315C4">
            <w:pPr>
              <w:spacing w:after="0" w:line="240" w:lineRule="auto"/>
            </w:pPr>
            <w:r w:rsidRPr="00AC0835">
              <w:t>V místě pobytu zajištění jízdenek na veřejnou dopravu;</w:t>
            </w:r>
          </w:p>
          <w:p w:rsidR="00AC0835" w:rsidRPr="00F17EEA" w:rsidRDefault="00F17EEA" w:rsidP="00F315C4">
            <w:pPr>
              <w:spacing w:after="0" w:line="240" w:lineRule="auto"/>
            </w:pPr>
            <w:r w:rsidRPr="00AC0835">
              <w:t>Možnost zakoupení teplých a studených nápojů v autobuse během celého zájezdu</w:t>
            </w:r>
            <w:r w:rsidR="00AC0835"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9006F" w:rsidRPr="0069006F" w:rsidTr="0069006F">
        <w:trPr>
          <w:trHeight w:val="130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lastRenderedPageBreak/>
              <w:t xml:space="preserve">Ubytování 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006F" w:rsidRPr="00AC0835" w:rsidRDefault="00C52412" w:rsidP="00F315C4">
            <w:pPr>
              <w:spacing w:after="0" w:line="240" w:lineRule="auto"/>
              <w:rPr>
                <w:rFonts w:eastAsia="Calibri"/>
              </w:rPr>
            </w:pPr>
            <w:r>
              <w:t>Ubytování pro žáky:</w:t>
            </w:r>
            <w:r w:rsidR="0069006F" w:rsidRPr="00AC0835">
              <w:t xml:space="preserve"> v hostitelských rodinách </w:t>
            </w:r>
            <w:r>
              <w:t xml:space="preserve">NEBO rezidenční ubytování </w:t>
            </w:r>
            <w:r w:rsidR="00AC0835" w:rsidRPr="00AC0835">
              <w:t>na celou dobu pobytu</w:t>
            </w:r>
            <w:r w:rsidR="0069006F" w:rsidRPr="00AC0835">
              <w:t xml:space="preserve">; </w:t>
            </w:r>
            <w:r>
              <w:t>k</w:t>
            </w:r>
            <w:r w:rsidR="00F17EEA" w:rsidRPr="00AC0835">
              <w:t> dispozici lůžkoviny, WC, koupelna.</w:t>
            </w:r>
          </w:p>
          <w:p w:rsidR="0069006F" w:rsidRDefault="00AC0835" w:rsidP="00F315C4">
            <w:pPr>
              <w:spacing w:after="0" w:line="240" w:lineRule="auto"/>
            </w:pPr>
            <w:r w:rsidRPr="00AC0835">
              <w:t xml:space="preserve">Ubytování pro učitele: </w:t>
            </w:r>
            <w:r w:rsidR="00C52412">
              <w:t>v hostitelských rodinách NEBO v </w:t>
            </w:r>
            <w:r w:rsidRPr="00AC0835">
              <w:t>apartmán</w:t>
            </w:r>
            <w:r w:rsidR="00C52412">
              <w:t>u/</w:t>
            </w:r>
            <w:r w:rsidRPr="00AC0835">
              <w:t>hotelu/hostelu, min 3 lůžk</w:t>
            </w:r>
            <w:r w:rsidR="00C52412">
              <w:t xml:space="preserve">ový pokoj, úroveň min 3 hvězdy, </w:t>
            </w:r>
            <w:r w:rsidRPr="00AC0835">
              <w:t>k dispozici lůžko</w:t>
            </w:r>
            <w:r w:rsidR="00C52412">
              <w:t>viny, vlastní sociální zařízení.</w:t>
            </w:r>
          </w:p>
          <w:p w:rsidR="00F17EEA" w:rsidRPr="00AC0835" w:rsidRDefault="00AC0835" w:rsidP="00F315C4">
            <w:pPr>
              <w:spacing w:after="0" w:line="240" w:lineRule="auto"/>
            </w:pPr>
            <w:r>
              <w:t>Učitelé ubytovaní v dojezdové vzdálenosti od žáků.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1F7DBB" w:rsidRDefault="001F7DBB" w:rsidP="00F315C4">
            <w:pPr>
              <w:spacing w:line="240" w:lineRule="auto"/>
              <w:rPr>
                <w:rFonts w:eastAsia="Times New Roman" w:cs="Times New Roman"/>
                <w:i/>
              </w:rPr>
            </w:pPr>
            <w:r w:rsidRPr="001F7DBB">
              <w:rPr>
                <w:rFonts w:eastAsia="Times New Roman" w:cs="Times New Roman"/>
                <w:i/>
              </w:rPr>
              <w:t>Uchazeč nabídne ubytování v místě dle svých možností tak, aby mohl být splněn program.</w:t>
            </w: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Stravování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06F" w:rsidRPr="00AC0835" w:rsidRDefault="0069006F" w:rsidP="00F315C4">
            <w:pPr>
              <w:spacing w:after="0" w:line="240" w:lineRule="auto"/>
            </w:pPr>
            <w:r w:rsidRPr="00AC0835">
              <w:rPr>
                <w:rFonts w:eastAsia="Times New Roman"/>
                <w:bCs/>
              </w:rPr>
              <w:t>Stravování</w:t>
            </w:r>
            <w:r w:rsidRPr="00AC0835">
              <w:t xml:space="preserve"> minimálně 3 jídla denně (snídaně, oběd, večeř</w:t>
            </w:r>
            <w:r w:rsidR="00AC0835">
              <w:t>e, možnost „obědového balíčku“) – pro žáky i pro učitele.</w:t>
            </w:r>
          </w:p>
          <w:p w:rsidR="00AC0835" w:rsidRPr="0069006F" w:rsidRDefault="00AC0835" w:rsidP="00F315C4">
            <w:pPr>
              <w:spacing w:after="0" w:line="240" w:lineRule="auto"/>
              <w:rPr>
                <w:rFonts w:eastAsia="Times New Roman"/>
                <w:highlight w:val="green"/>
              </w:rPr>
            </w:pPr>
            <w:r w:rsidRPr="00AC0835">
              <w:t>Zajištění pitného režimu.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9006F" w:rsidRPr="0069006F" w:rsidTr="0069006F">
        <w:trPr>
          <w:trHeight w:val="879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Pojištění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EEA" w:rsidRPr="00AC0835" w:rsidRDefault="00AC0835" w:rsidP="00F17EEA">
            <w:pPr>
              <w:spacing w:after="0" w:line="240" w:lineRule="auto"/>
              <w:rPr>
                <w:rFonts w:eastAsia="Times New Roman"/>
              </w:rPr>
            </w:pPr>
            <w:r w:rsidRPr="00AC0835">
              <w:rPr>
                <w:rFonts w:eastAsia="Times New Roman"/>
              </w:rPr>
              <w:t>C</w:t>
            </w:r>
            <w:r w:rsidR="0069006F" w:rsidRPr="00AC0835">
              <w:rPr>
                <w:rFonts w:eastAsia="Times New Roman"/>
              </w:rPr>
              <w:t xml:space="preserve">estovní pojištění do zahraničí, které bude </w:t>
            </w:r>
            <w:r w:rsidRPr="00AC0835">
              <w:rPr>
                <w:rFonts w:eastAsia="Times New Roman"/>
              </w:rPr>
              <w:t xml:space="preserve">zahrnovat min. léčebné výlohy, pojištění </w:t>
            </w:r>
            <w:r w:rsidR="0069006F" w:rsidRPr="00AC0835">
              <w:rPr>
                <w:rFonts w:eastAsia="Times New Roman"/>
              </w:rPr>
              <w:t xml:space="preserve">odpovědnosti, </w:t>
            </w:r>
            <w:r w:rsidR="00F17EEA" w:rsidRPr="00AC0835">
              <w:rPr>
                <w:rFonts w:eastAsia="Times New Roman"/>
              </w:rPr>
              <w:t>pojištění zavazadel;</w:t>
            </w:r>
          </w:p>
          <w:p w:rsidR="0069006F" w:rsidRPr="0069006F" w:rsidRDefault="00F17EEA" w:rsidP="00F17EEA">
            <w:pPr>
              <w:spacing w:after="0" w:line="240" w:lineRule="auto"/>
              <w:rPr>
                <w:rFonts w:eastAsia="Times New Roman" w:cs="Times New Roman"/>
                <w:highlight w:val="green"/>
              </w:rPr>
            </w:pPr>
            <w:r w:rsidRPr="00AC0835">
              <w:rPr>
                <w:rFonts w:eastAsia="Times New Roman"/>
              </w:rPr>
              <w:t>Pojištění cestovní kanceláře proti úpadku</w:t>
            </w:r>
            <w:r w:rsidR="0069006F" w:rsidRPr="00AC0835">
              <w:rPr>
                <w:rFonts w:eastAsia="Times New Roman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17EEA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17EEA" w:rsidRPr="0069006F" w:rsidRDefault="00F17EEA" w:rsidP="00F315C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Doplňkové služby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EEA" w:rsidRDefault="00F17EEA" w:rsidP="00F315C4">
            <w:pPr>
              <w:spacing w:after="0" w:line="240" w:lineRule="auto"/>
            </w:pPr>
            <w:r>
              <w:t>Průvodce po celou dobu zájezdu.</w:t>
            </w:r>
          </w:p>
          <w:p w:rsidR="00921ACC" w:rsidRPr="0069006F" w:rsidRDefault="00F17EEA" w:rsidP="00F17EEA">
            <w:pPr>
              <w:spacing w:after="0" w:line="240" w:lineRule="auto"/>
            </w:pPr>
            <w:r>
              <w:t>S</w:t>
            </w:r>
            <w:r w:rsidRPr="00F17EEA">
              <w:t>chůzka zástupce dodavatele s rodiči žáků v místě sídla zadavatele cca 1</w:t>
            </w:r>
            <w:r>
              <w:t>4</w:t>
            </w:r>
            <w:r w:rsidRPr="00F17EEA">
              <w:t xml:space="preserve"> </w:t>
            </w:r>
            <w:r>
              <w:t>dní</w:t>
            </w:r>
            <w:r w:rsidRPr="00F17EEA">
              <w:t xml:space="preserve"> před realizací pobytu (na schůzce </w:t>
            </w:r>
            <w:r>
              <w:t>uchazeč</w:t>
            </w:r>
            <w:r w:rsidRPr="00F17EEA">
              <w:t xml:space="preserve"> seznámí rodiče </w:t>
            </w:r>
            <w:r>
              <w:t xml:space="preserve">účastníků </w:t>
            </w:r>
            <w:r w:rsidRPr="00F17EEA">
              <w:t>s programem, odpoví na dotazy)</w:t>
            </w:r>
            <w:r w:rsidR="00921ACC"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7EEA" w:rsidRPr="0069006F" w:rsidRDefault="00F17EEA" w:rsidP="00F315C4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</w:tc>
      </w:tr>
      <w:tr w:rsidR="0069006F" w:rsidRPr="0069006F" w:rsidTr="0069006F">
        <w:trPr>
          <w:trHeight w:val="634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69006F" w:rsidRDefault="00F17EEA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Program</w:t>
            </w:r>
          </w:p>
        </w:tc>
        <w:tc>
          <w:tcPr>
            <w:tcW w:w="6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</w:rPr>
            </w:pPr>
            <w:r w:rsidRPr="0069006F">
              <w:t>Zajištění níže uvedeného programu</w:t>
            </w:r>
            <w:r w:rsidRPr="0069006F">
              <w:rPr>
                <w:rFonts w:eastAsia="Times New Roman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i/>
              </w:rPr>
            </w:pPr>
            <w:r w:rsidRPr="0069006F">
              <w:rPr>
                <w:rFonts w:eastAsia="Times New Roman" w:cs="Times New Roman"/>
                <w:i/>
              </w:rPr>
              <w:t>Zde uchazeč doplní, zda nabízí program shodný s programem uvedeným níže – pokud ne, předloží uchazeč ve své nabídce vlastní program.</w:t>
            </w:r>
            <w:r>
              <w:rPr>
                <w:rFonts w:eastAsia="Times New Roman" w:cs="Times New Roman"/>
                <w:i/>
              </w:rPr>
              <w:t xml:space="preserve"> Zadavatel upozorňuje, že nesplnění zadávacích podmínek povede k vyloučení uchazeče z účasti v zadávacím řízení.</w:t>
            </w:r>
          </w:p>
        </w:tc>
      </w:tr>
      <w:tr w:rsidR="0069006F" w:rsidRPr="0069006F" w:rsidTr="0069006F">
        <w:trPr>
          <w:trHeight w:val="606"/>
          <w:jc w:val="center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006F" w:rsidRPr="0069006F" w:rsidRDefault="0069006F" w:rsidP="00F315C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9006F">
              <w:rPr>
                <w:rFonts w:eastAsia="Times New Roman"/>
                <w:b/>
                <w:bCs/>
              </w:rPr>
              <w:t>Celková cena vč. DPH</w:t>
            </w:r>
          </w:p>
        </w:tc>
        <w:tc>
          <w:tcPr>
            <w:tcW w:w="11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006F" w:rsidRPr="0069006F" w:rsidRDefault="0069006F" w:rsidP="00AA544B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006F">
              <w:rPr>
                <w:rFonts w:eastAsia="Times New Roman" w:cs="Times New Roman"/>
                <w:b/>
                <w:sz w:val="24"/>
              </w:rPr>
              <w:t xml:space="preserve">,- Kč </w:t>
            </w:r>
            <w:r w:rsidR="00AA544B">
              <w:rPr>
                <w:rFonts w:eastAsia="Times New Roman" w:cs="Times New Roman"/>
                <w:b/>
                <w:sz w:val="24"/>
              </w:rPr>
              <w:t>vč.</w:t>
            </w:r>
            <w:r w:rsidRPr="0069006F">
              <w:rPr>
                <w:rFonts w:eastAsia="Times New Roman" w:cs="Times New Roman"/>
                <w:b/>
                <w:sz w:val="24"/>
              </w:rPr>
              <w:t xml:space="preserve"> DPH</w:t>
            </w:r>
          </w:p>
        </w:tc>
      </w:tr>
    </w:tbl>
    <w:p w:rsidR="0069006F" w:rsidRPr="0069006F" w:rsidRDefault="0069006F"/>
    <w:p w:rsidR="00C52412" w:rsidRDefault="00C52412" w:rsidP="0069006F">
      <w:pPr>
        <w:rPr>
          <w:b/>
          <w:sz w:val="28"/>
          <w:szCs w:val="28"/>
          <w:u w:val="single"/>
        </w:rPr>
      </w:pPr>
    </w:p>
    <w:p w:rsidR="0069006F" w:rsidRDefault="0069006F" w:rsidP="0069006F">
      <w:pPr>
        <w:rPr>
          <w:b/>
          <w:sz w:val="28"/>
          <w:szCs w:val="28"/>
          <w:u w:val="single"/>
        </w:rPr>
      </w:pPr>
      <w:r w:rsidRPr="0069006F">
        <w:rPr>
          <w:b/>
          <w:sz w:val="28"/>
          <w:szCs w:val="28"/>
          <w:u w:val="single"/>
        </w:rPr>
        <w:lastRenderedPageBreak/>
        <w:t>Program</w:t>
      </w:r>
    </w:p>
    <w:p w:rsidR="00C52412" w:rsidRDefault="00C52412" w:rsidP="00C5241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Aktivity spojené s poznáním reálií Velké Británie (jih země) po výuce </w:t>
      </w:r>
    </w:p>
    <w:p w:rsidR="00C52412" w:rsidRDefault="00C52412" w:rsidP="00C52412">
      <w:pPr>
        <w:pStyle w:val="Odstavecseseznamem"/>
        <w:numPr>
          <w:ilvl w:val="1"/>
          <w:numId w:val="3"/>
        </w:numPr>
        <w:jc w:val="both"/>
        <w:rPr>
          <w:b/>
        </w:rPr>
      </w:pPr>
      <w:r>
        <w:rPr>
          <w:b/>
        </w:rPr>
        <w:t>Výlety v o</w:t>
      </w:r>
      <w:r w:rsidR="0090622C">
        <w:rPr>
          <w:b/>
        </w:rPr>
        <w:t>k</w:t>
      </w:r>
      <w:r>
        <w:rPr>
          <w:b/>
        </w:rPr>
        <w:t>olí Londýna, jih Velké Británie, návštěva větších měst jihu Velké Británie</w:t>
      </w:r>
    </w:p>
    <w:p w:rsidR="0090622C" w:rsidRPr="00C52412" w:rsidRDefault="0090622C" w:rsidP="00C52412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C52412">
        <w:rPr>
          <w:b/>
        </w:rPr>
        <w:t>Londýn</w:t>
      </w:r>
      <w:r w:rsidR="00775600">
        <w:rPr>
          <w:b/>
        </w:rPr>
        <w:t xml:space="preserve"> celodenní výlet</w:t>
      </w:r>
      <w:bookmarkStart w:id="0" w:name="_GoBack"/>
      <w:bookmarkEnd w:id="0"/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 xml:space="preserve">Big Ben   </w:t>
      </w:r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 xml:space="preserve">Trafalgar Square </w:t>
      </w:r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 xml:space="preserve">St. James´Park  </w:t>
      </w:r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>Buckingham Palace</w:t>
      </w:r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 xml:space="preserve">Madam Tussaud´s, včetně zajištění vstupného </w:t>
      </w:r>
    </w:p>
    <w:p w:rsidR="0090622C" w:rsidRPr="00094708" w:rsidRDefault="0090622C" w:rsidP="0090622C">
      <w:pPr>
        <w:pStyle w:val="Odstavecseseznamem"/>
        <w:numPr>
          <w:ilvl w:val="1"/>
          <w:numId w:val="3"/>
        </w:numPr>
        <w:jc w:val="both"/>
        <w:rPr>
          <w:b/>
        </w:rPr>
      </w:pPr>
      <w:r w:rsidRPr="00094708">
        <w:rPr>
          <w:b/>
        </w:rPr>
        <w:t xml:space="preserve">Tower Bridge </w:t>
      </w:r>
    </w:p>
    <w:p w:rsidR="00B7068F" w:rsidRPr="00775600" w:rsidRDefault="0090622C" w:rsidP="00775600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775600">
        <w:rPr>
          <w:b/>
        </w:rPr>
        <w:t>Jazyková výuka viz požadavky výše</w:t>
      </w:r>
    </w:p>
    <w:p w:rsidR="0090622C" w:rsidRDefault="0090622C" w:rsidP="00AC0835">
      <w:pPr>
        <w:jc w:val="both"/>
        <w:rPr>
          <w:b/>
          <w:u w:val="single"/>
        </w:rPr>
      </w:pPr>
    </w:p>
    <w:p w:rsidR="00921ACC" w:rsidRPr="00AC0835" w:rsidRDefault="0069006F" w:rsidP="00AC0835">
      <w:pPr>
        <w:jc w:val="both"/>
        <w:rPr>
          <w:b/>
        </w:rPr>
      </w:pPr>
      <w:r w:rsidRPr="00A52DDE">
        <w:rPr>
          <w:b/>
          <w:u w:val="single"/>
        </w:rPr>
        <w:t>Pozn.:</w:t>
      </w:r>
      <w:r w:rsidRPr="00A52DDE">
        <w:rPr>
          <w:b/>
        </w:rPr>
        <w:t xml:space="preserve"> </w:t>
      </w:r>
      <w:r w:rsidR="00C52412" w:rsidRPr="00A52DDE">
        <w:rPr>
          <w:b/>
        </w:rPr>
        <w:t xml:space="preserve">Uchazeč může jednotlivé programy </w:t>
      </w:r>
      <w:r w:rsidR="00C52412">
        <w:rPr>
          <w:b/>
        </w:rPr>
        <w:t>sestavit</w:t>
      </w:r>
      <w:r w:rsidR="00C52412" w:rsidRPr="00A52DDE">
        <w:rPr>
          <w:b/>
        </w:rPr>
        <w:t xml:space="preserve"> tak, aby bylo jejich složení co nejefektivnější. Musí však dodržet obsah programu</w:t>
      </w:r>
      <w:r w:rsidR="00C52412">
        <w:rPr>
          <w:b/>
        </w:rPr>
        <w:t>.</w:t>
      </w:r>
    </w:p>
    <w:sectPr w:rsidR="00921ACC" w:rsidRPr="00AC0835" w:rsidSect="0069006F">
      <w:headerReference w:type="default" r:id="rId8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56" w:rsidRDefault="00676856" w:rsidP="0069006F">
      <w:pPr>
        <w:spacing w:after="0" w:line="240" w:lineRule="auto"/>
      </w:pPr>
      <w:r>
        <w:separator/>
      </w:r>
    </w:p>
  </w:endnote>
  <w:endnote w:type="continuationSeparator" w:id="0">
    <w:p w:rsidR="00676856" w:rsidRDefault="00676856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56" w:rsidRDefault="00676856" w:rsidP="0069006F">
      <w:pPr>
        <w:spacing w:after="0" w:line="240" w:lineRule="auto"/>
      </w:pPr>
      <w:r>
        <w:separator/>
      </w:r>
    </w:p>
  </w:footnote>
  <w:footnote w:type="continuationSeparator" w:id="0">
    <w:p w:rsidR="00676856" w:rsidRDefault="00676856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6F" w:rsidRDefault="0069006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6F2E9A6" wp14:editId="3FFA5E18">
          <wp:simplePos x="0" y="0"/>
          <wp:positionH relativeFrom="margin">
            <wp:posOffset>1125220</wp:posOffset>
          </wp:positionH>
          <wp:positionV relativeFrom="margin">
            <wp:posOffset>-1636395</wp:posOffset>
          </wp:positionV>
          <wp:extent cx="6144260" cy="1504315"/>
          <wp:effectExtent l="0" t="0" r="8890" b="635"/>
          <wp:wrapSquare wrapText="largest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06F" w:rsidRDefault="006900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E1F94"/>
    <w:rsid w:val="00126447"/>
    <w:rsid w:val="0013194B"/>
    <w:rsid w:val="001F7DBB"/>
    <w:rsid w:val="0022035E"/>
    <w:rsid w:val="00612088"/>
    <w:rsid w:val="00636CFE"/>
    <w:rsid w:val="00676856"/>
    <w:rsid w:val="0069006F"/>
    <w:rsid w:val="00775600"/>
    <w:rsid w:val="008B4B84"/>
    <w:rsid w:val="0090622C"/>
    <w:rsid w:val="00921ACC"/>
    <w:rsid w:val="009D4DC8"/>
    <w:rsid w:val="00A52DDE"/>
    <w:rsid w:val="00AA544B"/>
    <w:rsid w:val="00AC0835"/>
    <w:rsid w:val="00AF7BCB"/>
    <w:rsid w:val="00B42950"/>
    <w:rsid w:val="00B7068F"/>
    <w:rsid w:val="00BB7C48"/>
    <w:rsid w:val="00C52412"/>
    <w:rsid w:val="00D578E5"/>
    <w:rsid w:val="00DA386D"/>
    <w:rsid w:val="00DC7C9C"/>
    <w:rsid w:val="00F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2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4</cp:revision>
  <dcterms:created xsi:type="dcterms:W3CDTF">2015-06-25T08:31:00Z</dcterms:created>
  <dcterms:modified xsi:type="dcterms:W3CDTF">2015-06-25T10:01:00Z</dcterms:modified>
</cp:coreProperties>
</file>